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82C9" w14:textId="77777777" w:rsidR="00B62859" w:rsidRDefault="00B62859" w:rsidP="00B62859">
      <w:pPr>
        <w:rPr>
          <w:rFonts w:ascii="Garamond" w:eastAsia="Times New Roman" w:hAnsi="Garamond"/>
          <w:color w:val="000000"/>
          <w:sz w:val="28"/>
          <w:szCs w:val="28"/>
        </w:rPr>
      </w:pPr>
    </w:p>
    <w:p w14:paraId="7FEBB45E" w14:textId="695F0479" w:rsidR="00B62859" w:rsidRDefault="00B62859" w:rsidP="00B62859">
      <w:pPr>
        <w:rPr>
          <w:rFonts w:ascii="Garamond" w:eastAsia="Times New Roman" w:hAnsi="Garamond"/>
          <w:color w:val="000000"/>
          <w:sz w:val="28"/>
          <w:szCs w:val="28"/>
        </w:rPr>
      </w:pPr>
      <w:r w:rsidRPr="00B62859">
        <w:rPr>
          <w:rFonts w:ascii="Garamond" w:eastAsia="Times New Roman" w:hAnsi="Garamond"/>
          <w:color w:val="000000"/>
          <w:sz w:val="28"/>
          <w:szCs w:val="28"/>
        </w:rPr>
        <w:drawing>
          <wp:inline distT="0" distB="0" distL="0" distR="0" wp14:anchorId="7D3B94CF" wp14:editId="11B82067">
            <wp:extent cx="5943600" cy="1415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D38C2" w14:textId="77777777" w:rsidR="00B62859" w:rsidRDefault="00B62859" w:rsidP="00B62859">
      <w:pPr>
        <w:rPr>
          <w:rFonts w:ascii="Garamond" w:eastAsia="Times New Roman" w:hAnsi="Garamond"/>
          <w:color w:val="000000"/>
          <w:sz w:val="28"/>
          <w:szCs w:val="28"/>
        </w:rPr>
      </w:pPr>
    </w:p>
    <w:p w14:paraId="5BC9CFAC" w14:textId="77777777" w:rsidR="00B62859" w:rsidRDefault="00B62859" w:rsidP="00B62859">
      <w:pPr>
        <w:rPr>
          <w:rFonts w:ascii="Garamond" w:eastAsia="Times New Roman" w:hAnsi="Garamond"/>
          <w:color w:val="000000"/>
          <w:sz w:val="28"/>
          <w:szCs w:val="28"/>
        </w:rPr>
      </w:pPr>
    </w:p>
    <w:p w14:paraId="1D4A066F" w14:textId="5FBFCA89" w:rsidR="00B62859" w:rsidRPr="00B62859" w:rsidRDefault="00B62859" w:rsidP="00B62859">
      <w:pPr>
        <w:rPr>
          <w:rFonts w:ascii="Garamond" w:eastAsia="Times New Roman" w:hAnsi="Garamond"/>
          <w:color w:val="000000"/>
          <w:sz w:val="28"/>
          <w:szCs w:val="28"/>
        </w:rPr>
      </w:pPr>
      <w:r w:rsidRPr="00B62859">
        <w:rPr>
          <w:rFonts w:ascii="Garamond" w:eastAsia="Times New Roman" w:hAnsi="Garamond"/>
          <w:color w:val="000000"/>
          <w:sz w:val="28"/>
          <w:szCs w:val="28"/>
        </w:rPr>
        <w:t>The </w:t>
      </w:r>
      <w:hyperlink r:id="rId5" w:history="1">
        <w:r w:rsidRPr="00B62859">
          <w:rPr>
            <w:rFonts w:ascii="Garamond" w:eastAsia="Times New Roman" w:hAnsi="Garamond"/>
            <w:i/>
            <w:iCs/>
            <w:color w:val="1155CC"/>
            <w:sz w:val="28"/>
            <w:szCs w:val="28"/>
            <w:u w:val="single"/>
          </w:rPr>
          <w:t>Better Government Lab</w:t>
        </w:r>
      </w:hyperlink>
      <w:r w:rsidRPr="00B62859">
        <w:rPr>
          <w:rFonts w:ascii="Garamond" w:eastAsia="Times New Roman" w:hAnsi="Garamond"/>
          <w:color w:val="000000"/>
          <w:sz w:val="28"/>
          <w:szCs w:val="28"/>
        </w:rPr>
        <w:t> at the </w:t>
      </w:r>
      <w:r w:rsidRPr="00B62859">
        <w:rPr>
          <w:rFonts w:ascii="Garamond" w:eastAsia="Times New Roman" w:hAnsi="Garamond"/>
          <w:i/>
          <w:iCs/>
          <w:color w:val="000000"/>
          <w:sz w:val="28"/>
          <w:szCs w:val="28"/>
        </w:rPr>
        <w:t>McCourt School of Public Policy</w:t>
      </w:r>
      <w:r w:rsidRPr="00B62859">
        <w:rPr>
          <w:rFonts w:ascii="Garamond" w:eastAsia="Times New Roman" w:hAnsi="Garamond"/>
          <w:color w:val="000000"/>
          <w:sz w:val="28"/>
          <w:szCs w:val="28"/>
        </w:rPr>
        <w:t> at </w:t>
      </w:r>
      <w:r w:rsidRPr="00B62859">
        <w:rPr>
          <w:rFonts w:ascii="Garamond" w:eastAsia="Times New Roman" w:hAnsi="Garamond"/>
          <w:i/>
          <w:iCs/>
          <w:color w:val="000000"/>
          <w:sz w:val="28"/>
          <w:szCs w:val="28"/>
        </w:rPr>
        <w:t>Georgetown University</w:t>
      </w:r>
      <w:r w:rsidRPr="00B62859">
        <w:rPr>
          <w:rFonts w:ascii="Garamond" w:eastAsia="Times New Roman" w:hAnsi="Garamond"/>
          <w:color w:val="000000"/>
          <w:sz w:val="28"/>
          <w:szCs w:val="28"/>
        </w:rPr>
        <w:t>, in collaboration with the </w:t>
      </w:r>
      <w:r w:rsidRPr="00B62859">
        <w:rPr>
          <w:rFonts w:ascii="Garamond" w:eastAsia="Times New Roman" w:hAnsi="Garamond"/>
          <w:i/>
          <w:iCs/>
          <w:color w:val="000000"/>
          <w:sz w:val="28"/>
          <w:szCs w:val="28"/>
        </w:rPr>
        <w:t>US Office of Management and Budget</w:t>
      </w:r>
      <w:r w:rsidRPr="00B62859">
        <w:rPr>
          <w:rFonts w:ascii="Garamond" w:eastAsia="Times New Roman" w:hAnsi="Garamond"/>
          <w:color w:val="000000"/>
          <w:sz w:val="28"/>
          <w:szCs w:val="28"/>
        </w:rPr>
        <w:t> and the </w:t>
      </w:r>
      <w:r w:rsidRPr="00B62859">
        <w:rPr>
          <w:rFonts w:ascii="Garamond" w:eastAsia="Times New Roman" w:hAnsi="Garamond"/>
          <w:i/>
          <w:iCs/>
          <w:color w:val="000000"/>
          <w:sz w:val="28"/>
          <w:szCs w:val="28"/>
        </w:rPr>
        <w:t>Office of Science and Technology Policy</w:t>
      </w:r>
      <w:r w:rsidRPr="00B62859">
        <w:rPr>
          <w:rFonts w:ascii="Garamond" w:eastAsia="Times New Roman" w:hAnsi="Garamond"/>
          <w:color w:val="000000"/>
          <w:sz w:val="28"/>
          <w:szCs w:val="28"/>
        </w:rPr>
        <w:t>, invites participants for a roundtable on the</w:t>
      </w:r>
      <w:hyperlink r:id="rId6" w:history="1">
        <w:r w:rsidRPr="00B62859">
          <w:rPr>
            <w:rFonts w:ascii="Garamond" w:eastAsia="Times New Roman" w:hAnsi="Garamond"/>
            <w:color w:val="000000"/>
            <w:sz w:val="28"/>
            <w:szCs w:val="28"/>
          </w:rPr>
          <w:t> </w:t>
        </w:r>
        <w:r w:rsidRPr="00B62859">
          <w:rPr>
            <w:rFonts w:ascii="Garamond" w:eastAsia="Times New Roman" w:hAnsi="Garamond"/>
            <w:color w:val="0563C1"/>
            <w:sz w:val="28"/>
            <w:szCs w:val="28"/>
            <w:u w:val="single"/>
          </w:rPr>
          <w:t>President’s Management Agenda</w:t>
        </w:r>
      </w:hyperlink>
      <w:r w:rsidRPr="00B62859">
        <w:rPr>
          <w:rFonts w:ascii="Garamond" w:eastAsia="Times New Roman" w:hAnsi="Garamond"/>
          <w:color w:val="000000"/>
          <w:sz w:val="28"/>
          <w:szCs w:val="28"/>
        </w:rPr>
        <w:t>, in support of the “Year of Evidence for Action”.  This half-day event will bring together public management scholars and federal government officials charged with implementing the President’s Management Agenda</w:t>
      </w:r>
      <w:hyperlink r:id="rId7" w:history="1">
        <w:r w:rsidRPr="00B62859">
          <w:rPr>
            <w:rFonts w:ascii="Garamond" w:eastAsia="Times New Roman" w:hAnsi="Garamond"/>
            <w:color w:val="1155CC"/>
            <w:sz w:val="28"/>
            <w:szCs w:val="28"/>
          </w:rPr>
          <w:t> </w:t>
        </w:r>
        <w:r w:rsidRPr="00B62859">
          <w:rPr>
            <w:rFonts w:ascii="Garamond" w:eastAsia="Times New Roman" w:hAnsi="Garamond"/>
            <w:color w:val="1155CC"/>
            <w:sz w:val="28"/>
            <w:szCs w:val="28"/>
            <w:u w:val="single"/>
          </w:rPr>
          <w:t>learning agenda</w:t>
        </w:r>
      </w:hyperlink>
      <w:r w:rsidRPr="00B62859">
        <w:rPr>
          <w:rFonts w:ascii="Garamond" w:eastAsia="Times New Roman" w:hAnsi="Garamond"/>
          <w:color w:val="000000"/>
          <w:sz w:val="28"/>
          <w:szCs w:val="28"/>
        </w:rPr>
        <w:t> to explore research opportunities, especially as it relates to questions of how the Federal government can strengthen its workforce, deliver programs and services effectively and advance equity and support underserved communities. </w:t>
      </w:r>
    </w:p>
    <w:p w14:paraId="3BE58BD1" w14:textId="4AA85CF2" w:rsidR="00B62859" w:rsidRPr="00B62859" w:rsidRDefault="00B62859" w:rsidP="00B62859">
      <w:pPr>
        <w:rPr>
          <w:rFonts w:ascii="Garamond" w:eastAsia="Times New Roman" w:hAnsi="Garamond" w:cs="Calibri"/>
          <w:color w:val="000000"/>
          <w:sz w:val="28"/>
          <w:szCs w:val="28"/>
        </w:rPr>
      </w:pPr>
      <w:r w:rsidRPr="00B62859">
        <w:rPr>
          <w:rFonts w:ascii="Garamond" w:eastAsia="Times New Roman" w:hAnsi="Garamond" w:cs="Calibri"/>
          <w:color w:val="000000"/>
          <w:sz w:val="28"/>
          <w:szCs w:val="28"/>
        </w:rPr>
        <w:br/>
        <w:t>This event is co-sponsored by the </w:t>
      </w:r>
      <w:r w:rsidRPr="00B62859">
        <w:rPr>
          <w:rFonts w:ascii="Garamond" w:eastAsia="Times New Roman" w:hAnsi="Garamond" w:cs="Calibri"/>
          <w:i/>
          <w:iCs/>
          <w:color w:val="000000"/>
          <w:sz w:val="28"/>
          <w:szCs w:val="28"/>
        </w:rPr>
        <w:t>Public Management Research Association</w:t>
      </w:r>
      <w:r w:rsidRPr="00B62859">
        <w:rPr>
          <w:rFonts w:ascii="Garamond" w:eastAsia="Times New Roman" w:hAnsi="Garamond" w:cs="Calibri"/>
          <w:color w:val="000000"/>
          <w:sz w:val="28"/>
          <w:szCs w:val="28"/>
        </w:rPr>
        <w:t> to facilitate access to a diverse group of scholars.  The event will be hosted at the Georgetown University campus from 1-5 pm, Wednesday, November 16, 2022 (the day prior to the start of the annual APPAM meeting in Washington DC).  Those interested in participating should apply online [</w:t>
      </w:r>
      <w:r w:rsidRPr="00B62859">
        <w:rPr>
          <w:rFonts w:eastAsia="Times New Roman"/>
          <w:color w:val="000000"/>
          <w:sz w:val="28"/>
          <w:szCs w:val="28"/>
        </w:rPr>
        <w:t>​​</w:t>
      </w:r>
      <w:hyperlink r:id="rId8" w:history="1">
        <w:r w:rsidRPr="00B62859">
          <w:rPr>
            <w:rStyle w:val="Hyperlink"/>
            <w:rFonts w:ascii="Garamond" w:hAnsi="Garamond"/>
            <w:sz w:val="28"/>
            <w:szCs w:val="28"/>
          </w:rPr>
          <w:t>https://forms.</w:t>
        </w:r>
        <w:r w:rsidRPr="00B62859">
          <w:rPr>
            <w:rStyle w:val="Hyperlink"/>
            <w:rFonts w:ascii="Garamond" w:hAnsi="Garamond"/>
            <w:sz w:val="28"/>
            <w:szCs w:val="28"/>
          </w:rPr>
          <w:t>g</w:t>
        </w:r>
        <w:r w:rsidRPr="00B62859">
          <w:rPr>
            <w:rStyle w:val="Hyperlink"/>
            <w:rFonts w:ascii="Garamond" w:hAnsi="Garamond"/>
            <w:sz w:val="28"/>
            <w:szCs w:val="28"/>
          </w:rPr>
          <w:t>le/nfX2kGKrvbGGvZ478</w:t>
        </w:r>
      </w:hyperlink>
      <w:r>
        <w:rPr>
          <w:rFonts w:ascii="Garamond" w:hAnsi="Garamond"/>
          <w:color w:val="000000"/>
          <w:sz w:val="28"/>
          <w:szCs w:val="28"/>
        </w:rPr>
        <w:t>]</w:t>
      </w:r>
      <w:r w:rsidRPr="00B62859">
        <w:rPr>
          <w:rFonts w:ascii="Garamond" w:hAnsi="Garamond"/>
          <w:color w:val="000000"/>
          <w:sz w:val="28"/>
          <w:szCs w:val="28"/>
        </w:rPr>
        <w:t xml:space="preserve">, </w:t>
      </w:r>
      <w:r w:rsidRPr="00B62859">
        <w:rPr>
          <w:rFonts w:ascii="Garamond" w:eastAsia="Times New Roman" w:hAnsi="Garamond" w:cs="Calibri"/>
          <w:color w:val="000000"/>
          <w:sz w:val="28"/>
          <w:szCs w:val="28"/>
        </w:rPr>
        <w:t xml:space="preserve">with a short description of the topic they are interested in by October 1, 2022.  A limited pool of funds </w:t>
      </w:r>
      <w:proofErr w:type="gramStart"/>
      <w:r w:rsidRPr="00B62859">
        <w:rPr>
          <w:rFonts w:ascii="Garamond" w:eastAsia="Times New Roman" w:hAnsi="Garamond" w:cs="Calibri"/>
          <w:color w:val="000000"/>
          <w:sz w:val="28"/>
          <w:szCs w:val="28"/>
        </w:rPr>
        <w:t>are</w:t>
      </w:r>
      <w:proofErr w:type="gramEnd"/>
      <w:r w:rsidRPr="00B62859">
        <w:rPr>
          <w:rFonts w:ascii="Garamond" w:eastAsia="Times New Roman" w:hAnsi="Garamond" w:cs="Calibri"/>
          <w:color w:val="000000"/>
          <w:sz w:val="28"/>
          <w:szCs w:val="28"/>
        </w:rPr>
        <w:t xml:space="preserve"> available to offset travel costs for applicants from underrepresented backgrounds (including those from institutions with limited travel support), so please indicate if you will need such support.</w:t>
      </w:r>
    </w:p>
    <w:p w14:paraId="7031B34E" w14:textId="77777777" w:rsidR="00283301" w:rsidRPr="00B62859" w:rsidRDefault="00283301">
      <w:pPr>
        <w:rPr>
          <w:rFonts w:ascii="Garamond" w:hAnsi="Garamond"/>
          <w:sz w:val="28"/>
          <w:szCs w:val="28"/>
        </w:rPr>
      </w:pPr>
    </w:p>
    <w:sectPr w:rsidR="00283301" w:rsidRPr="00B62859" w:rsidSect="00CD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59"/>
    <w:rsid w:val="0016226F"/>
    <w:rsid w:val="00283301"/>
    <w:rsid w:val="00B62859"/>
    <w:rsid w:val="00C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68789"/>
  <w15:chartTrackingRefBased/>
  <w15:docId w15:val="{7D1B641F-F0B4-7744-874D-DE774C1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859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DefaultParagraphFont"/>
    <w:rsid w:val="00B62859"/>
  </w:style>
  <w:style w:type="character" w:styleId="Hyperlink">
    <w:name w:val="Hyperlink"/>
    <w:basedOn w:val="DefaultParagraphFont"/>
    <w:uiPriority w:val="99"/>
    <w:semiHidden/>
    <w:unhideWhenUsed/>
    <w:rsid w:val="00B628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fX2kGKrvbGGvZ4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formance.gov/pma/learning-agen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ormance.gov/pma/" TargetMode="External"/><Relationship Id="rId5" Type="http://schemas.openxmlformats.org/officeDocument/2006/relationships/hyperlink" Target="https://mccourt.georgetown.edu/better-government-lab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Headley</dc:creator>
  <cp:keywords/>
  <dc:description/>
  <cp:lastModifiedBy>Andrea Headley</cp:lastModifiedBy>
  <cp:revision>1</cp:revision>
  <dcterms:created xsi:type="dcterms:W3CDTF">2022-09-19T17:36:00Z</dcterms:created>
  <dcterms:modified xsi:type="dcterms:W3CDTF">2022-09-19T17:38:00Z</dcterms:modified>
</cp:coreProperties>
</file>